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A687">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bookmarkStart w:id="3" w:name="_GoBack"/>
      <w:r>
        <w:rPr>
          <w:rFonts w:hint="default" w:ascii="Times New Roman Regular" w:hAnsi="Times New Roman Regular" w:eastAsia="黑体" w:cs="Times New Roman Regular"/>
          <w:b w:val="0"/>
          <w:bCs w:val="0"/>
          <w:sz w:val="32"/>
          <w:szCs w:val="32"/>
          <w:lang w:val="en-US" w:eastAsia="zh-CN"/>
        </w:rPr>
        <w:t>附件6</w:t>
      </w:r>
    </w:p>
    <w:p w14:paraId="231E8425">
      <w:pPr>
        <w:keepNext w:val="0"/>
        <w:keepLines w:val="0"/>
        <w:pageBreakBefore w:val="0"/>
        <w:kinsoku/>
        <w:wordWrap/>
        <w:overflowPunct/>
        <w:topLinePunct w:val="0"/>
        <w:bidi w:val="0"/>
        <w:adjustRightInd/>
        <w:spacing w:line="560" w:lineRule="exact"/>
        <w:textAlignment w:val="auto"/>
        <w:outlineLvl w:val="1"/>
        <w:rPr>
          <w:rFonts w:hint="default" w:ascii="Times New Roman Regular" w:hAnsi="Times New Roman Regular" w:eastAsia="方正小标宋简体" w:cs="Times New Roman Regular"/>
          <w:b w:val="0"/>
          <w:bCs w:val="0"/>
          <w:sz w:val="44"/>
          <w:szCs w:val="44"/>
        </w:rPr>
      </w:pPr>
      <w:bookmarkStart w:id="0" w:name="_Toc5943"/>
      <w:bookmarkStart w:id="1" w:name="_Toc2240"/>
    </w:p>
    <w:p w14:paraId="3E6EF171">
      <w:pPr>
        <w:keepNext w:val="0"/>
        <w:keepLines w:val="0"/>
        <w:pageBreakBefore w:val="0"/>
        <w:kinsoku/>
        <w:wordWrap/>
        <w:overflowPunct/>
        <w:topLinePunct w:val="0"/>
        <w:bidi w:val="0"/>
        <w:adjustRightInd/>
        <w:spacing w:line="560" w:lineRule="exact"/>
        <w:jc w:val="center"/>
        <w:textAlignment w:val="auto"/>
        <w:outlineLvl w:val="1"/>
        <w:rPr>
          <w:rFonts w:hint="default" w:ascii="Times New Roman Regular" w:hAnsi="Times New Roman Regular" w:eastAsia="方正小标宋简体" w:cs="Times New Roman Regular"/>
          <w:b w:val="0"/>
          <w:bCs w:val="0"/>
          <w:spacing w:val="-11"/>
          <w:sz w:val="44"/>
          <w:szCs w:val="44"/>
          <w:lang w:val="en"/>
        </w:rPr>
      </w:pPr>
      <w:r>
        <w:rPr>
          <w:rFonts w:hint="default" w:ascii="Times New Roman Regular" w:hAnsi="Times New Roman Regular" w:eastAsia="方正小标宋简体" w:cs="Times New Roman Regular"/>
          <w:b w:val="0"/>
          <w:bCs w:val="0"/>
          <w:sz w:val="44"/>
          <w:szCs w:val="44"/>
          <w:lang w:val="en"/>
        </w:rPr>
        <w:t>第十四届中国创新创业大赛</w:t>
      </w:r>
      <w:r>
        <w:rPr>
          <w:rFonts w:hint="default" w:ascii="Times New Roman Regular" w:hAnsi="Times New Roman Regular" w:eastAsia="方正小标宋简体" w:cs="Times New Roman Regular"/>
          <w:b w:val="0"/>
          <w:bCs w:val="0"/>
          <w:spacing w:val="-11"/>
          <w:sz w:val="44"/>
          <w:szCs w:val="44"/>
          <w:lang w:val="en"/>
        </w:rPr>
        <w:t>颠覆性技术</w:t>
      </w:r>
    </w:p>
    <w:p w14:paraId="37ED81EF">
      <w:pPr>
        <w:keepNext w:val="0"/>
        <w:keepLines w:val="0"/>
        <w:pageBreakBefore w:val="0"/>
        <w:kinsoku/>
        <w:wordWrap/>
        <w:overflowPunct/>
        <w:topLinePunct w:val="0"/>
        <w:bidi w:val="0"/>
        <w:adjustRightInd/>
        <w:spacing w:line="560" w:lineRule="exact"/>
        <w:jc w:val="center"/>
        <w:textAlignment w:val="auto"/>
        <w:outlineLvl w:val="1"/>
        <w:rPr>
          <w:rFonts w:hint="default" w:ascii="Times New Roman Regular" w:hAnsi="Times New Roman Regular" w:eastAsia="方正小标宋简体" w:cs="Times New Roman Regular"/>
          <w:b w:val="0"/>
          <w:bCs w:val="0"/>
          <w:sz w:val="44"/>
          <w:szCs w:val="44"/>
          <w:lang w:eastAsia="zh-CN"/>
        </w:rPr>
      </w:pPr>
      <w:r>
        <w:rPr>
          <w:rFonts w:hint="default" w:ascii="Times New Roman Regular" w:hAnsi="Times New Roman Regular" w:eastAsia="方正小标宋简体" w:cs="Times New Roman Regular"/>
          <w:b w:val="0"/>
          <w:bCs w:val="0"/>
          <w:spacing w:val="-11"/>
          <w:sz w:val="44"/>
          <w:szCs w:val="44"/>
        </w:rPr>
        <w:t>创新</w:t>
      </w:r>
      <w:r>
        <w:rPr>
          <w:rFonts w:hint="default" w:ascii="Times New Roman Regular" w:hAnsi="Times New Roman Regular" w:eastAsia="方正小标宋简体" w:cs="Times New Roman Regular"/>
          <w:b w:val="0"/>
          <w:bCs w:val="0"/>
          <w:spacing w:val="-11"/>
          <w:sz w:val="44"/>
          <w:szCs w:val="44"/>
          <w:lang w:val="en"/>
        </w:rPr>
        <w:t>大赛（</w:t>
      </w:r>
      <w:r>
        <w:rPr>
          <w:rFonts w:hint="default" w:ascii="Times New Roman Regular" w:hAnsi="Times New Roman Regular" w:eastAsia="方正小标宋简体" w:cs="Times New Roman Regular"/>
          <w:b w:val="0"/>
          <w:bCs w:val="0"/>
          <w:spacing w:val="-11"/>
          <w:sz w:val="44"/>
          <w:szCs w:val="44"/>
        </w:rPr>
        <w:t>未来健康领域赛</w:t>
      </w:r>
      <w:r>
        <w:rPr>
          <w:rFonts w:hint="default" w:ascii="Times New Roman Regular" w:hAnsi="Times New Roman Regular" w:eastAsia="方正小标宋简体" w:cs="Times New Roman Regular"/>
          <w:b w:val="0"/>
          <w:bCs w:val="0"/>
          <w:spacing w:val="-11"/>
          <w:sz w:val="44"/>
          <w:szCs w:val="44"/>
          <w:lang w:val="en"/>
        </w:rPr>
        <w:t>）</w:t>
      </w:r>
      <w:r>
        <w:rPr>
          <w:rFonts w:hint="default" w:ascii="Times New Roman Regular" w:hAnsi="Times New Roman Regular" w:eastAsia="方正小标宋简体" w:cs="Times New Roman Regular"/>
          <w:b w:val="0"/>
          <w:bCs w:val="0"/>
          <w:spacing w:val="-11"/>
          <w:sz w:val="44"/>
          <w:szCs w:val="44"/>
          <w:lang w:val="en-US" w:eastAsia="zh-CN"/>
        </w:rPr>
        <w:t>组织方案</w:t>
      </w:r>
    </w:p>
    <w:p w14:paraId="0B012FD0">
      <w:pPr>
        <w:keepNext w:val="0"/>
        <w:keepLines w:val="0"/>
        <w:pageBreakBefore w:val="0"/>
        <w:kinsoku/>
        <w:wordWrap/>
        <w:overflowPunct/>
        <w:topLinePunct w:val="0"/>
        <w:bidi w:val="0"/>
        <w:adjustRightInd/>
        <w:snapToGrid w:val="0"/>
        <w:spacing w:line="560" w:lineRule="exact"/>
        <w:textAlignment w:val="auto"/>
        <w:rPr>
          <w:rFonts w:hint="default" w:ascii="Times New Roman Regular" w:hAnsi="Times New Roman Regular" w:eastAsia="仿宋_GB2312" w:cs="Times New Roman Regular"/>
          <w:b w:val="0"/>
          <w:bCs w:val="0"/>
          <w:color w:val="000000"/>
          <w:sz w:val="32"/>
          <w:szCs w:val="32"/>
        </w:rPr>
      </w:pPr>
    </w:p>
    <w:p w14:paraId="324FCA2A">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为全面贯彻党的二十大和二十届三中全会精神，落实全国新型工业化推进大会和全国科技大会有关部署，深入推进颠覆性技术创新工作，</w:t>
      </w:r>
      <w:r>
        <w:rPr>
          <w:rFonts w:hint="default" w:ascii="Times New Roman Regular" w:hAnsi="Times New Roman Regular" w:eastAsia="仿宋_GB2312" w:cs="Times New Roman Regular"/>
          <w:b w:val="0"/>
          <w:bCs w:val="0"/>
          <w:sz w:val="32"/>
          <w:szCs w:val="32"/>
        </w:rPr>
        <w:t>上海市奉贤区科学技术委员会和上海市奉贤区南桥镇人民政府</w:t>
      </w:r>
      <w:r>
        <w:rPr>
          <w:rFonts w:hint="default" w:ascii="Times New Roman Regular" w:hAnsi="Times New Roman Regular" w:eastAsia="仿宋_GB2312" w:cs="Times New Roman Regular"/>
          <w:b w:val="0"/>
          <w:bCs w:val="0"/>
          <w:color w:val="000000"/>
          <w:sz w:val="32"/>
          <w:szCs w:val="32"/>
        </w:rPr>
        <w:t>承办第十四届中国创新创业大赛颠覆性技术创新大赛（未来健康领域赛）（以下简称“领域赛”）。现将有关事项通知如下。</w:t>
      </w:r>
    </w:p>
    <w:p w14:paraId="4B3846CD">
      <w:pPr>
        <w:keepNext w:val="0"/>
        <w:keepLines w:val="0"/>
        <w:pageBreakBefore w:val="0"/>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一、指导思想</w:t>
      </w:r>
    </w:p>
    <w:p w14:paraId="7CB6867C">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 w:cs="Times New Roman Regular"/>
          <w:b w:val="0"/>
          <w:bCs w:val="0"/>
          <w:color w:val="000000"/>
          <w:sz w:val="32"/>
          <w:szCs w:val="32"/>
        </w:rPr>
      </w:pPr>
      <w:r>
        <w:rPr>
          <w:rFonts w:hint="default" w:ascii="Times New Roman Regular" w:hAnsi="Times New Roman Regular" w:eastAsia="仿宋_GB2312" w:cs="Times New Roman Regular"/>
          <w:b w:val="0"/>
          <w:bCs w:val="0"/>
          <w:sz w:val="32"/>
          <w:szCs w:val="32"/>
        </w:rPr>
        <w:t>以习近平新时代中国特色社会主义思想为指导，深入实施创新驱动发展战略，把颠覆性技术创新大赛作为落实《工业和信息化部等七部门关于推动未来产业创新发展的实施意见》（工信部联科〔2024〕12号）的重要抓手，强化颠覆性技术源头供给，促进颠覆性技术成果转化，前瞻布局未来产业，加快发展</w:t>
      </w:r>
      <w:r>
        <w:rPr>
          <w:rFonts w:hint="default" w:ascii="Times New Roman Regular" w:hAnsi="Times New Roman Regular" w:eastAsia="仿宋_GB2312" w:cs="Times New Roman Regular"/>
          <w:b w:val="0"/>
          <w:bCs w:val="0"/>
          <w:spacing w:val="-6"/>
          <w:sz w:val="32"/>
          <w:szCs w:val="32"/>
        </w:rPr>
        <w:t>新质生产力。</w:t>
      </w:r>
    </w:p>
    <w:p w14:paraId="04457763">
      <w:pPr>
        <w:keepNext w:val="0"/>
        <w:keepLines w:val="0"/>
        <w:pageBreakBefore w:val="0"/>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二、赛事总体安排</w:t>
      </w:r>
    </w:p>
    <w:p w14:paraId="17717206">
      <w:pPr>
        <w:keepNext w:val="0"/>
        <w:keepLines w:val="0"/>
        <w:pageBreakBefore w:val="0"/>
        <w:widowControl/>
        <w:kinsoku/>
        <w:wordWrap/>
        <w:overflowPunct/>
        <w:topLinePunct w:val="0"/>
        <w:bidi w:val="0"/>
        <w:adjustRightInd/>
        <w:snapToGrid w:val="0"/>
        <w:spacing w:line="560" w:lineRule="exact"/>
        <w:ind w:firstLine="640" w:firstLineChars="200"/>
        <w:jc w:val="left"/>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领域赛采用“公开海选”方式，面向社会公开征集具有颠覆性技术苗头的项目参赛，通过层层筛选和项目比拼，</w:t>
      </w:r>
      <w:r>
        <w:rPr>
          <w:rFonts w:hint="default" w:ascii="Times New Roman Regular" w:hAnsi="Times New Roman Regular" w:eastAsia="仿宋_GB2312" w:cs="Times New Roman Regular"/>
          <w:b w:val="0"/>
          <w:bCs w:val="0"/>
          <w:sz w:val="32"/>
          <w:szCs w:val="32"/>
        </w:rPr>
        <w:t>优胜项目进入决赛</w:t>
      </w:r>
      <w:r>
        <w:rPr>
          <w:rFonts w:hint="default" w:ascii="Times New Roman Regular" w:hAnsi="Times New Roman Regular" w:eastAsia="仿宋_GB2312" w:cs="Times New Roman Regular"/>
          <w:b w:val="0"/>
          <w:bCs w:val="0"/>
          <w:color w:val="000000"/>
          <w:sz w:val="32"/>
          <w:szCs w:val="32"/>
        </w:rPr>
        <w:t>。符合参赛条件的单位统一登录中国创新创业大赛网站（</w:t>
      </w:r>
      <w:r>
        <w:rPr>
          <w:rFonts w:hint="default" w:ascii="Times New Roman Regular" w:hAnsi="Times New Roman Regular" w:eastAsia="仿宋_GB2312" w:cs="Times New Roman Regular"/>
          <w:b w:val="0"/>
          <w:bCs w:val="0"/>
          <w:sz w:val="32"/>
          <w:szCs w:val="32"/>
        </w:rPr>
        <w:t>http://www.cxcyds.com</w:t>
      </w:r>
      <w:r>
        <w:rPr>
          <w:rFonts w:hint="default" w:ascii="Times New Roman Regular" w:hAnsi="Times New Roman Regular" w:eastAsia="仿宋_GB2312" w:cs="Times New Roman Regular"/>
          <w:b w:val="0"/>
          <w:bCs w:val="0"/>
          <w:color w:val="000000"/>
          <w:sz w:val="32"/>
          <w:szCs w:val="32"/>
        </w:rPr>
        <w:t>）</w:t>
      </w:r>
      <w:r>
        <w:rPr>
          <w:rFonts w:hint="default" w:ascii="Times New Roman Regular" w:hAnsi="Times New Roman Regular" w:eastAsia="仿宋_GB2312" w:cs="Times New Roman Regular"/>
          <w:b w:val="0"/>
          <w:bCs w:val="0"/>
          <w:sz w:val="32"/>
          <w:szCs w:val="32"/>
        </w:rPr>
        <w:t>—专业赛事—颠覆性技术创新大赛入口报名参赛。同一参赛单位（大专院校除外）仅可报名1个项目参赛；大专院校报名项目总数量不超过3个。</w:t>
      </w:r>
      <w:r>
        <w:rPr>
          <w:rFonts w:hint="default" w:ascii="Times New Roman Regular" w:hAnsi="Times New Roman Regular" w:eastAsia="仿宋_GB2312" w:cs="Times New Roman Regular"/>
          <w:b w:val="0"/>
          <w:bCs w:val="0"/>
          <w:color w:val="000000"/>
          <w:sz w:val="32"/>
          <w:szCs w:val="32"/>
        </w:rPr>
        <w:t>比赛不向参赛单位收取任何费用。</w:t>
      </w:r>
    </w:p>
    <w:p w14:paraId="7D0B1B8E">
      <w:pPr>
        <w:keepNext w:val="0"/>
        <w:keepLines w:val="0"/>
        <w:pageBreakBefore w:val="0"/>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szCs w:val="32"/>
        </w:rPr>
      </w:pPr>
      <w:r>
        <w:rPr>
          <w:rFonts w:hint="default" w:ascii="Times New Roman Regular" w:hAnsi="Times New Roman Regular" w:eastAsia="黑体" w:cs="Times New Roman Regular"/>
          <w:b w:val="0"/>
          <w:bCs w:val="0"/>
          <w:sz w:val="32"/>
        </w:rPr>
        <w:t>三、</w:t>
      </w:r>
      <w:r>
        <w:rPr>
          <w:rFonts w:hint="default" w:ascii="Times New Roman Regular" w:hAnsi="Times New Roman Regular" w:eastAsia="黑体" w:cs="Times New Roman Regular"/>
          <w:b w:val="0"/>
          <w:bCs w:val="0"/>
          <w:color w:val="000000"/>
          <w:sz w:val="32"/>
        </w:rPr>
        <w:t>组织机构</w:t>
      </w:r>
    </w:p>
    <w:p w14:paraId="51CDD23F">
      <w:pPr>
        <w:keepNext w:val="0"/>
        <w:keepLines w:val="0"/>
        <w:pageBreakBefore w:val="0"/>
        <w:kinsoku/>
        <w:wordWrap/>
        <w:overflowPunct/>
        <w:topLinePunct w:val="0"/>
        <w:bidi w:val="0"/>
        <w:adjustRightInd/>
        <w:snapToGrid w:val="0"/>
        <w:spacing w:line="560" w:lineRule="exact"/>
        <w:ind w:firstLine="640" w:firstLineChars="200"/>
        <w:textAlignment w:val="auto"/>
        <w:outlineLvl w:val="1"/>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（一）参与单位。</w:t>
      </w:r>
    </w:p>
    <w:p w14:paraId="0380DA3A">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主办单位</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工业和信息化部火炬高技术产业开发中心</w:t>
      </w:r>
    </w:p>
    <w:p w14:paraId="2E8BB407">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上海市奉贤区人民政府</w:t>
      </w:r>
    </w:p>
    <w:p w14:paraId="02BC2030">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承办单位：上海市奉贤区科学技术委员会</w:t>
      </w:r>
    </w:p>
    <w:p w14:paraId="01750733">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上海市奉贤区南桥镇人民政府</w:t>
      </w:r>
    </w:p>
    <w:p w14:paraId="6D295581">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协办单位：上海沪江产业技术研究院</w:t>
      </w:r>
    </w:p>
    <w:p w14:paraId="13A0375D">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支持单位：新华社中国经济信息社</w:t>
      </w:r>
    </w:p>
    <w:p w14:paraId="2286D8FE">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交通银行股份有限公司</w:t>
      </w:r>
    </w:p>
    <w:p w14:paraId="423150DC">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京津冀国家技术创新中心</w:t>
      </w:r>
    </w:p>
    <w:p w14:paraId="76A2116D">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lang w:val="en-US" w:eastAsia="zh-CN"/>
        </w:rPr>
        <w:t>中科创星科技投资有限公司</w:t>
      </w:r>
    </w:p>
    <w:p w14:paraId="3046EEBD">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上海市科技创业中心</w:t>
      </w:r>
    </w:p>
    <w:p w14:paraId="57FDC5D8">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华东理工大学生物反应器工程全国重点实验室</w:t>
      </w:r>
    </w:p>
    <w:p w14:paraId="17201298">
      <w:pPr>
        <w:keepNext w:val="0"/>
        <w:keepLines w:val="0"/>
        <w:pageBreakBefore w:val="0"/>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sz w:val="32"/>
        </w:rPr>
        <w:t>四、</w:t>
      </w:r>
      <w:r>
        <w:rPr>
          <w:rFonts w:hint="default" w:ascii="Times New Roman Regular" w:hAnsi="Times New Roman Regular" w:eastAsia="黑体" w:cs="Times New Roman Regular"/>
          <w:b w:val="0"/>
          <w:bCs w:val="0"/>
          <w:color w:val="000000"/>
          <w:sz w:val="32"/>
        </w:rPr>
        <w:t>参赛要求</w:t>
      </w:r>
    </w:p>
    <w:p w14:paraId="58AB15BF">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（一）参赛单位要求。</w:t>
      </w:r>
    </w:p>
    <w:p w14:paraId="6CF1048D">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参赛单位应是具有独立法人资格的企事业单位等，经营规范、社会信誉良好、无知识产权纠纷，且具有较强的创新能力和一定的项目实施条件。</w:t>
      </w:r>
    </w:p>
    <w:p w14:paraId="2BCB131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（二）参赛项目要求。</w:t>
      </w:r>
    </w:p>
    <w:p w14:paraId="7B2C2FF5">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sz w:val="32"/>
          <w:szCs w:val="32"/>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参赛单位应清晰阐明其技术突破性、产业变革性等。</w:t>
      </w:r>
    </w:p>
    <w:p w14:paraId="4D621BF9">
      <w:pPr>
        <w:keepNext w:val="0"/>
        <w:keepLines w:val="0"/>
        <w:pageBreakBefore w:val="0"/>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五、技术方向</w:t>
      </w:r>
    </w:p>
    <w:p w14:paraId="1952B731">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重点聚焦未来</w:t>
      </w:r>
      <w:r>
        <w:rPr>
          <w:rFonts w:hint="default" w:ascii="Times New Roman Regular" w:hAnsi="Times New Roman Regular" w:eastAsia="仿宋_GB2312" w:cs="Times New Roman Regular"/>
          <w:b w:val="0"/>
          <w:bCs w:val="0"/>
          <w:sz w:val="32"/>
          <w:szCs w:val="32"/>
        </w:rPr>
        <w:t>健康</w:t>
      </w:r>
      <w:r>
        <w:rPr>
          <w:rFonts w:hint="default" w:ascii="Times New Roman Regular" w:hAnsi="Times New Roman Regular" w:eastAsia="仿宋_GB2312" w:cs="Times New Roman Regular"/>
          <w:b w:val="0"/>
          <w:bCs w:val="0"/>
          <w:color w:val="000000"/>
          <w:sz w:val="32"/>
          <w:szCs w:val="32"/>
        </w:rPr>
        <w:t>领域</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color w:val="000000"/>
          <w:sz w:val="32"/>
          <w:szCs w:val="32"/>
        </w:rPr>
        <w:t>包括</w:t>
      </w:r>
      <w:r>
        <w:rPr>
          <w:rFonts w:hint="default" w:ascii="Times New Roman Regular" w:hAnsi="Times New Roman Regular" w:eastAsia="仿宋_GB2312" w:cs="Times New Roman Regular"/>
          <w:b w:val="0"/>
          <w:bCs w:val="0"/>
          <w:sz w:val="32"/>
          <w:szCs w:val="32"/>
        </w:rPr>
        <w:t>细胞和基因技术、合成生物、生物育种等前沿技术，5G/6G、元宇宙、人工智能等技术赋能的新型医疗服务，融合数字孪生、脑机交互等先进技术的高端医疗装备和健康用品</w:t>
      </w:r>
      <w:r>
        <w:rPr>
          <w:rFonts w:hint="default" w:ascii="Times New Roman Regular" w:hAnsi="Times New Roman Regular" w:eastAsia="仿宋_GB2312" w:cs="Times New Roman Regular"/>
          <w:b w:val="0"/>
          <w:bCs w:val="0"/>
          <w:color w:val="000000"/>
          <w:sz w:val="32"/>
          <w:szCs w:val="32"/>
        </w:rPr>
        <w:t>等方向。</w:t>
      </w:r>
    </w:p>
    <w:p w14:paraId="54506E6E">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六、赛程安排</w:t>
      </w:r>
    </w:p>
    <w:p w14:paraId="3AE48666">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自主报名。</w:t>
      </w:r>
      <w:r>
        <w:rPr>
          <w:rFonts w:hint="default" w:ascii="Times New Roman Regular" w:hAnsi="Times New Roman Regular" w:eastAsia="仿宋_GB2312" w:cs="Times New Roman Regular"/>
          <w:b w:val="0"/>
          <w:bCs w:val="0"/>
          <w:sz w:val="32"/>
          <w:szCs w:val="32"/>
        </w:rPr>
        <w:t>各参赛单位通过大赛官方网站进行统一注册报名，同时承诺对填报信息的准确、真实、合法、有效性负责。</w:t>
      </w:r>
    </w:p>
    <w:p w14:paraId="77300F0F">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报名截止时间为2025年9月30日</w:t>
      </w:r>
    </w:p>
    <w:p w14:paraId="6A29DE93">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eastAsia="zh-CN"/>
        </w:rPr>
        <w:t>项目审查和初筛。</w:t>
      </w:r>
      <w:r>
        <w:rPr>
          <w:rFonts w:hint="default" w:ascii="Times New Roman Regular" w:hAnsi="Times New Roman Regular" w:eastAsia="仿宋_GB2312" w:cs="Times New Roman Regular"/>
          <w:b w:val="0"/>
          <w:bCs w:val="0"/>
          <w:sz w:val="32"/>
          <w:szCs w:val="32"/>
        </w:rPr>
        <w:t>对报名参赛项目，按照项目合规性审查标准进行审查，再根据颠覆性技术评议标准进行初步筛选，确定进入领域赛项目名单。</w:t>
      </w:r>
    </w:p>
    <w:p w14:paraId="10B564CF">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color w:val="000000"/>
          <w:kern w:val="0"/>
          <w:sz w:val="32"/>
          <w:szCs w:val="32"/>
          <w:lang w:bidi="ar"/>
        </w:rPr>
        <w:t>项目初筛时间为2025年10月中旬。</w:t>
      </w:r>
    </w:p>
    <w:p w14:paraId="3D69330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eastAsia="zh-CN"/>
        </w:rPr>
        <w:t>比赛说明。</w:t>
      </w:r>
    </w:p>
    <w:p w14:paraId="7B007795">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eastAsia" w:ascii="Times New Roman Regular" w:hAnsi="Times New Roman Regular" w:eastAsia="仿宋_GB2312" w:cs="Times New Roman Regular"/>
          <w:b w:val="0"/>
          <w:bCs w:val="0"/>
          <w:color w:val="000000"/>
          <w:sz w:val="32"/>
          <w:shd w:val="clear" w:color="auto" w:fill="FFFFFF"/>
          <w:lang w:val="en-US" w:eastAsia="zh-CN"/>
        </w:rPr>
        <w:t>1.</w:t>
      </w:r>
      <w:r>
        <w:rPr>
          <w:rFonts w:hint="default" w:ascii="Times New Roman Regular" w:hAnsi="Times New Roman Regular" w:eastAsia="仿宋_GB2312" w:cs="Times New Roman Regular"/>
          <w:b w:val="0"/>
          <w:bCs w:val="0"/>
          <w:color w:val="000000"/>
          <w:sz w:val="32"/>
          <w:shd w:val="clear" w:color="auto" w:fill="FFFFFF"/>
        </w:rPr>
        <w:t>比赛分组。领域赛将参赛单位分组并排序，参加评议的评委随机分组组成评议组，项目组与评议组随机匹配。</w:t>
      </w:r>
    </w:p>
    <w:p w14:paraId="60B3E71B">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eastAsia" w:ascii="Times New Roman Regular" w:hAnsi="Times New Roman Regular" w:eastAsia="仿宋_GB2312" w:cs="Times New Roman Regular"/>
          <w:b w:val="0"/>
          <w:bCs w:val="0"/>
          <w:color w:val="000000"/>
          <w:sz w:val="32"/>
          <w:shd w:val="clear" w:color="auto" w:fill="FFFFFF"/>
          <w:lang w:val="en-US" w:eastAsia="zh-CN"/>
        </w:rPr>
        <w:t>2.</w:t>
      </w:r>
      <w:r>
        <w:rPr>
          <w:rFonts w:hint="default" w:ascii="Times New Roman Regular" w:hAnsi="Times New Roman Regular" w:eastAsia="仿宋_GB2312" w:cs="Times New Roman Regular"/>
          <w:b w:val="0"/>
          <w:bCs w:val="0"/>
          <w:color w:val="000000"/>
          <w:sz w:val="32"/>
          <w:shd w:val="clear" w:color="auto" w:fill="FFFFFF"/>
        </w:rPr>
        <w:t>比赛模式。领域赛采用“12+8”模式封闭式陈述和答辩，参赛选手陈述时间12分钟，评议组问答时间8分钟。</w:t>
      </w:r>
    </w:p>
    <w:p w14:paraId="34C77168">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eastAsia" w:ascii="Times New Roman Regular" w:hAnsi="Times New Roman Regular" w:eastAsia="仿宋_GB2312" w:cs="Times New Roman Regular"/>
          <w:b w:val="0"/>
          <w:bCs w:val="0"/>
          <w:color w:val="000000"/>
          <w:sz w:val="32"/>
          <w:shd w:val="clear" w:color="auto" w:fill="FFFFFF"/>
          <w:lang w:val="en-US" w:eastAsia="zh-CN"/>
        </w:rPr>
        <w:t>3.</w:t>
      </w:r>
      <w:r>
        <w:rPr>
          <w:rFonts w:hint="default" w:ascii="Times New Roman Regular" w:hAnsi="Times New Roman Regular" w:eastAsia="仿宋_GB2312" w:cs="Times New Roman Regular"/>
          <w:b w:val="0"/>
          <w:bCs w:val="0"/>
          <w:color w:val="000000"/>
          <w:sz w:val="32"/>
          <w:shd w:val="clear" w:color="auto" w:fill="FFFFFF"/>
        </w:rPr>
        <w:t>评议流程。评议流程按初次评议和交叉评议两个环节依次进行。初次评议既对项目技术情况作出颠覆性可能评价，也进行评级；交叉评议对项目技术情况的颠覆性可能作进一步识别。评议结果</w:t>
      </w:r>
      <w:r>
        <w:rPr>
          <w:rFonts w:hint="default" w:ascii="Times New Roman Regular" w:hAnsi="Times New Roman Regular" w:eastAsia="仿宋_GB2312" w:cs="Times New Roman Regular"/>
          <w:b w:val="0"/>
          <w:bCs w:val="0"/>
          <w:sz w:val="32"/>
          <w:szCs w:val="32"/>
        </w:rPr>
        <w:t>分为优秀项目和优胜项目，优胜项目择优进入决赛。</w:t>
      </w:r>
    </w:p>
    <w:p w14:paraId="3856DCFB">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eastAsia" w:ascii="Times New Roman Regular" w:hAnsi="Times New Roman Regular" w:eastAsia="仿宋_GB2312" w:cs="Times New Roman Regular"/>
          <w:b w:val="0"/>
          <w:bCs w:val="0"/>
          <w:color w:val="000000"/>
          <w:sz w:val="32"/>
          <w:shd w:val="clear" w:color="auto" w:fill="FFFFFF"/>
          <w:lang w:val="en-US" w:eastAsia="zh-CN"/>
        </w:rPr>
        <w:t>4.</w:t>
      </w:r>
      <w:r>
        <w:rPr>
          <w:rFonts w:hint="default" w:ascii="Times New Roman Regular" w:hAnsi="Times New Roman Regular" w:eastAsia="仿宋_GB2312" w:cs="Times New Roman Regular"/>
          <w:b w:val="0"/>
          <w:bCs w:val="0"/>
          <w:color w:val="000000"/>
          <w:sz w:val="32"/>
          <w:shd w:val="clear" w:color="auto" w:fill="FFFFFF"/>
        </w:rPr>
        <w:t>组织方案。</w:t>
      </w:r>
    </w:p>
    <w:p w14:paraId="068066EA">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highlight w:val="none"/>
          <w:lang w:val="en-US" w:eastAsia="zh-CN"/>
        </w:rPr>
      </w:pPr>
      <w:r>
        <w:rPr>
          <w:rFonts w:hint="eastAsia" w:ascii="Times New Roman Regular" w:hAnsi="Times New Roman Regular" w:eastAsia="仿宋_GB2312" w:cs="Times New Roman Regular"/>
          <w:b w:val="0"/>
          <w:bCs w:val="0"/>
          <w:sz w:val="32"/>
          <w:szCs w:val="32"/>
          <w:highlight w:val="none"/>
          <w:lang w:eastAsia="zh-CN"/>
        </w:rPr>
        <w:t>（</w:t>
      </w:r>
      <w:r>
        <w:rPr>
          <w:rFonts w:hint="eastAsia" w:ascii="Times New Roman Regular" w:hAnsi="Times New Roman Regular" w:eastAsia="仿宋_GB2312" w:cs="Times New Roman Regular"/>
          <w:b w:val="0"/>
          <w:bCs w:val="0"/>
          <w:sz w:val="32"/>
          <w:szCs w:val="32"/>
          <w:highlight w:val="none"/>
          <w:lang w:val="en-US" w:eastAsia="zh-CN"/>
        </w:rPr>
        <w:t>1）</w:t>
      </w:r>
      <w:r>
        <w:rPr>
          <w:rFonts w:hint="default" w:ascii="Times New Roman Regular" w:hAnsi="Times New Roman Regular" w:eastAsia="仿宋_GB2312" w:cs="Times New Roman Regular"/>
          <w:b w:val="0"/>
          <w:bCs w:val="0"/>
          <w:kern w:val="0"/>
          <w:sz w:val="32"/>
          <w:szCs w:val="32"/>
          <w:highlight w:val="none"/>
        </w:rPr>
        <w:t>比赛时间：2025年10月下旬</w:t>
      </w:r>
      <w:r>
        <w:rPr>
          <w:rFonts w:hint="default" w:ascii="Times New Roman Regular" w:hAnsi="Times New Roman Regular" w:eastAsia="仿宋_GB2312" w:cs="Times New Roman Regular"/>
          <w:b w:val="0"/>
          <w:bCs w:val="0"/>
          <w:kern w:val="0"/>
          <w:sz w:val="32"/>
          <w:szCs w:val="32"/>
          <w:highlight w:val="none"/>
          <w:lang w:eastAsia="zh-CN"/>
        </w:rPr>
        <w:t>（</w:t>
      </w:r>
      <w:r>
        <w:rPr>
          <w:rFonts w:hint="default" w:ascii="Times New Roman Regular" w:hAnsi="Times New Roman Regular" w:eastAsia="仿宋_GB2312" w:cs="Times New Roman Regular"/>
          <w:b w:val="0"/>
          <w:bCs w:val="0"/>
          <w:kern w:val="0"/>
          <w:sz w:val="32"/>
          <w:szCs w:val="32"/>
          <w:highlight w:val="none"/>
          <w:lang w:val="en-US" w:eastAsia="zh-CN"/>
        </w:rPr>
        <w:t>拟）</w:t>
      </w:r>
    </w:p>
    <w:p w14:paraId="345CCCCB">
      <w:pPr>
        <w:keepNext w:val="0"/>
        <w:keepLines w:val="0"/>
        <w:pageBreakBefore w:val="0"/>
        <w:widowControl/>
        <w:kinsoku/>
        <w:wordWrap/>
        <w:overflowPunct/>
        <w:topLinePunct w:val="0"/>
        <w:bidi w:val="0"/>
        <w:adjustRightInd/>
        <w:snapToGrid w:val="0"/>
        <w:spacing w:line="560" w:lineRule="exact"/>
        <w:ind w:firstLine="640" w:firstLineChars="200"/>
        <w:jc w:val="left"/>
        <w:textAlignment w:val="auto"/>
        <w:rPr>
          <w:rFonts w:hint="default" w:ascii="Times New Roman Regular" w:hAnsi="Times New Roman Regular" w:eastAsia="仿宋_GB2312" w:cs="Times New Roman Regular"/>
          <w:b w:val="0"/>
          <w:bCs w:val="0"/>
          <w:sz w:val="32"/>
          <w:szCs w:val="32"/>
        </w:rPr>
      </w:pP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2）</w:t>
      </w:r>
      <w:r>
        <w:rPr>
          <w:rFonts w:hint="default" w:ascii="Times New Roman Regular" w:hAnsi="Times New Roman Regular" w:eastAsia="仿宋_GB2312" w:cs="Times New Roman Regular"/>
          <w:b w:val="0"/>
          <w:bCs w:val="0"/>
          <w:sz w:val="32"/>
          <w:szCs w:val="32"/>
        </w:rPr>
        <w:t>参赛人员。每个参赛项目单位选派1-2名代表作为选手参加比赛。其中1名为参赛项目的负责人或研发团队主要人员作为陈述和答辩人，另可选派1名助手。</w:t>
      </w:r>
    </w:p>
    <w:p w14:paraId="3E5E7ACB">
      <w:pPr>
        <w:keepNext w:val="0"/>
        <w:keepLines w:val="0"/>
        <w:pageBreakBefore w:val="0"/>
        <w:widowControl/>
        <w:kinsoku/>
        <w:wordWrap/>
        <w:overflowPunct/>
        <w:topLinePunct w:val="0"/>
        <w:bidi w:val="0"/>
        <w:adjustRightInd/>
        <w:snapToGrid w:val="0"/>
        <w:spacing w:line="560" w:lineRule="exact"/>
        <w:ind w:firstLine="640" w:firstLineChars="200"/>
        <w:jc w:val="left"/>
        <w:textAlignment w:val="auto"/>
        <w:rPr>
          <w:rFonts w:hint="default" w:ascii="Times New Roman Regular" w:hAnsi="Times New Roman Regular" w:eastAsia="仿宋_GB2312" w:cs="Times New Roman Regular"/>
          <w:b w:val="0"/>
          <w:bCs w:val="0"/>
          <w:sz w:val="32"/>
          <w:szCs w:val="32"/>
        </w:rPr>
      </w:pP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3）</w:t>
      </w:r>
      <w:r>
        <w:rPr>
          <w:rFonts w:hint="default" w:ascii="Times New Roman Regular" w:hAnsi="Times New Roman Regular" w:eastAsia="仿宋_GB2312" w:cs="Times New Roman Regular"/>
          <w:b w:val="0"/>
          <w:bCs w:val="0"/>
          <w:sz w:val="32"/>
          <w:szCs w:val="32"/>
        </w:rPr>
        <w:t>比赛展示。参赛选手须提供比赛使用的PPT电子版。参赛选手可在比赛中展示产品、样品等相关实物模型。</w:t>
      </w:r>
    </w:p>
    <w:p w14:paraId="213DE923">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rPr>
      </w:pP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4）</w:t>
      </w:r>
      <w:r>
        <w:rPr>
          <w:rFonts w:hint="default" w:ascii="Times New Roman Regular" w:hAnsi="Times New Roman Regular" w:eastAsia="仿宋_GB2312" w:cs="Times New Roman Regular"/>
          <w:b w:val="0"/>
          <w:bCs w:val="0"/>
          <w:sz w:val="32"/>
          <w:szCs w:val="32"/>
        </w:rPr>
        <w:t>参赛费用。领域赛不向参赛单位收取任何费用。领域赛不统一安排食宿，参赛选手差旅费、食宿费自理。</w:t>
      </w:r>
    </w:p>
    <w:p w14:paraId="6964BE17">
      <w:pPr>
        <w:keepNext w:val="0"/>
        <w:keepLines w:val="0"/>
        <w:pageBreakBefore w:val="0"/>
        <w:kinsoku/>
        <w:wordWrap/>
        <w:overflowPunct/>
        <w:topLinePunct w:val="0"/>
        <w:bidi w:val="0"/>
        <w:adjustRightInd/>
        <w:snapToGrid w:val="0"/>
        <w:spacing w:line="560" w:lineRule="exact"/>
        <w:ind w:left="420" w:leftChars="200" w:firstLine="320" w:firstLineChars="100"/>
        <w:textAlignment w:val="auto"/>
        <w:outlineLvl w:val="0"/>
        <w:rPr>
          <w:rFonts w:hint="default" w:ascii="Times New Roman Regular" w:hAnsi="Times New Roman Regular" w:eastAsia="黑体" w:cs="Times New Roman Regular"/>
          <w:b w:val="0"/>
          <w:bCs w:val="0"/>
          <w:sz w:val="32"/>
        </w:rPr>
      </w:pPr>
      <w:r>
        <w:rPr>
          <w:rFonts w:hint="default" w:ascii="Times New Roman Regular" w:hAnsi="Times New Roman Regular" w:eastAsia="黑体" w:cs="Times New Roman Regular"/>
          <w:b w:val="0"/>
          <w:bCs w:val="0"/>
          <w:sz w:val="32"/>
        </w:rPr>
        <w:t>七、服务政策</w:t>
      </w:r>
    </w:p>
    <w:p w14:paraId="51007C6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（一）政策支持。</w:t>
      </w:r>
      <w:r>
        <w:rPr>
          <w:rFonts w:hint="default" w:ascii="Times New Roman Regular" w:hAnsi="Times New Roman Regular" w:eastAsia="仿宋_GB2312" w:cs="Times New Roman Regular"/>
          <w:b w:val="0"/>
          <w:bCs w:val="0"/>
          <w:sz w:val="32"/>
          <w:szCs w:val="32"/>
          <w:highlight w:val="none"/>
          <w:u w:val="none"/>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w:t>
      </w:r>
      <w:r>
        <w:rPr>
          <w:rFonts w:hint="default" w:ascii="Times New Roman Regular" w:hAnsi="Times New Roman Regular" w:eastAsia="仿宋_GB2312" w:cs="Times New Roman Regular"/>
          <w:sz w:val="32"/>
          <w:szCs w:val="32"/>
          <w:highlight w:val="none"/>
          <w:u w:val="none"/>
          <w:lang w:val="en-US" w:eastAsia="zh-CN"/>
        </w:rPr>
        <w:t>在高新技术企业认定、科技型中小企业评价等方面，为参赛企业予以重点指导，联合相关单位开展“专精特新”申报、科创板企业上市等综合赋能培训。向科技型企业孵化器推送有需求的项目信息，支持早期企业和团队入孵。择优向</w:t>
      </w:r>
      <w:r>
        <w:rPr>
          <w:rFonts w:hint="default" w:ascii="Times New Roman Regular" w:hAnsi="Times New Roman Regular" w:eastAsia="仿宋_GB2312" w:cs="Times New Roman Regular"/>
          <w:b w:val="0"/>
          <w:bCs w:val="0"/>
          <w:sz w:val="32"/>
          <w:szCs w:val="32"/>
          <w:highlight w:val="none"/>
          <w:u w:val="none"/>
          <w:lang w:val="en-US" w:eastAsia="zh-CN"/>
        </w:rPr>
        <w:t>国家颠覆性技术创新重点专项推荐优胜项目并争取支持</w:t>
      </w:r>
      <w:r>
        <w:rPr>
          <w:rFonts w:hint="default" w:ascii="Times New Roman Regular" w:hAnsi="Times New Roman Regular" w:eastAsia="仿宋_GB2312" w:cs="Times New Roman Regular"/>
          <w:b w:val="0"/>
          <w:bCs w:val="0"/>
          <w:sz w:val="32"/>
          <w:szCs w:val="32"/>
        </w:rPr>
        <w:t>。</w:t>
      </w:r>
    </w:p>
    <w:p w14:paraId="2722282B">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（二）金融服务。</w:t>
      </w:r>
      <w:r>
        <w:rPr>
          <w:rFonts w:hint="default" w:ascii="Times New Roman Regular" w:hAnsi="Times New Roman Regular" w:eastAsia="仿宋_GB2312" w:cs="Times New Roman Regular"/>
          <w:b w:val="0"/>
          <w:bCs w:val="0"/>
          <w:sz w:val="32"/>
          <w:szCs w:val="32"/>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70505F38">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（三）人才服务。</w:t>
      </w:r>
      <w:r>
        <w:rPr>
          <w:rFonts w:hint="default" w:ascii="Times New Roman Regular" w:hAnsi="Times New Roman Regular" w:eastAsia="仿宋_GB2312" w:cs="Times New Roman Regular"/>
          <w:b w:val="0"/>
          <w:bCs w:val="0"/>
          <w:sz w:val="32"/>
          <w:szCs w:val="32"/>
        </w:rPr>
        <w:t>联合相关高校为参赛企业举办创新创业优秀人才招聘，推荐参赛企业参加国家高新区科研助理岗招聘活动。依托“百园百校万企”合作行动，为高新区、企业提供人才服务。</w:t>
      </w:r>
    </w:p>
    <w:p w14:paraId="1AD92B2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（四）信息服务。</w:t>
      </w:r>
      <w:r>
        <w:rPr>
          <w:rFonts w:hint="default" w:ascii="Times New Roman Regular" w:hAnsi="Times New Roman Regular" w:eastAsia="仿宋_GB2312" w:cs="Times New Roman Regular"/>
          <w:b w:val="0"/>
          <w:bCs w:val="0"/>
          <w:sz w:val="32"/>
          <w:szCs w:val="32"/>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1DF1FE2E">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（五）地方服务。</w:t>
      </w:r>
      <w:r>
        <w:rPr>
          <w:rFonts w:hint="default" w:ascii="Times New Roman Regular" w:hAnsi="Times New Roman Regular" w:eastAsia="仿宋_GB2312" w:cs="Times New Roman Regular"/>
          <w:b w:val="0"/>
          <w:bCs w:val="0"/>
          <w:sz w:val="32"/>
          <w:szCs w:val="32"/>
        </w:rPr>
        <w:t>本领域赛组织单位全力协调资本、人才、土地等各方资源，集中支持项目落地。常态化组织项目路演对接和未来产业发展交流培训、政策服务等活动，邀请主管部门、行业协会有关负责同志进行指导，为优秀参赛企业提供专项政策宣贯、大企业合作对接、新技术场景应用等增值服务。最终获得总决赛优胜奖且在上海奉贤注册落地的项目给予最高50万资金支持。</w:t>
      </w:r>
    </w:p>
    <w:p w14:paraId="406BE9BD">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（六）宣传展示。</w:t>
      </w:r>
      <w:r>
        <w:rPr>
          <w:rFonts w:hint="default" w:ascii="Times New Roman Regular" w:hAnsi="Times New Roman Regular" w:eastAsia="仿宋_GB2312" w:cs="Times New Roman Regular"/>
          <w:b w:val="0"/>
          <w:bCs w:val="0"/>
          <w:sz w:val="32"/>
          <w:szCs w:val="32"/>
        </w:rPr>
        <w:t>通过中国创新创业大赛官网、大赛合作媒体渠道、大赛附属论坛、展览、培训等活动，对赛事进行宣传展示。</w:t>
      </w:r>
    </w:p>
    <w:p w14:paraId="60F3F1A7">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p>
    <w:p w14:paraId="442ACF87">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联系人：唐旭东</w:t>
      </w:r>
      <w:bookmarkStart w:id="2" w:name="_Toc16326"/>
      <w:r>
        <w:rPr>
          <w:rFonts w:hint="default" w:ascii="Times New Roman Regular" w:hAnsi="Times New Roman Regular" w:eastAsia="仿宋_GB2312" w:cs="Times New Roman Regular"/>
          <w:b w:val="0"/>
          <w:bCs w:val="0"/>
          <w:sz w:val="32"/>
          <w:szCs w:val="32"/>
          <w:lang w:val="en-US" w:eastAsia="zh-CN"/>
        </w:rPr>
        <w:t xml:space="preserve">  </w:t>
      </w:r>
      <w:r>
        <w:rPr>
          <w:rFonts w:hint="default" w:ascii="Times New Roman Regular" w:hAnsi="Times New Roman Regular" w:eastAsia="仿宋_GB2312" w:cs="Times New Roman Regular"/>
          <w:b w:val="0"/>
          <w:bCs w:val="0"/>
          <w:sz w:val="32"/>
          <w:szCs w:val="32"/>
        </w:rPr>
        <w:t>13917662089</w:t>
      </w:r>
    </w:p>
    <w:p w14:paraId="6E581254">
      <w:pPr>
        <w:keepNext w:val="0"/>
        <w:keepLines w:val="0"/>
        <w:pageBreakBefore w:val="0"/>
        <w:kinsoku/>
        <w:wordWrap/>
        <w:overflowPunct/>
        <w:topLinePunct w:val="0"/>
        <w:bidi w:val="0"/>
        <w:adjustRightInd/>
        <w:snapToGrid w:val="0"/>
        <w:spacing w:line="560" w:lineRule="exact"/>
        <w:ind w:firstLine="1920" w:firstLineChars="6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张晓兰</w:t>
      </w:r>
      <w:r>
        <w:rPr>
          <w:rFonts w:hint="default" w:ascii="Times New Roman Regular" w:hAnsi="Times New Roman Regular" w:eastAsia="仿宋_GB2312" w:cs="Times New Roman Regular"/>
          <w:b w:val="0"/>
          <w:bCs w:val="0"/>
          <w:sz w:val="32"/>
          <w:szCs w:val="32"/>
          <w:lang w:val="en-US" w:eastAsia="zh-CN"/>
        </w:rPr>
        <w:t xml:space="preserve">  </w:t>
      </w:r>
      <w:r>
        <w:rPr>
          <w:rFonts w:hint="default" w:ascii="Times New Roman Regular" w:hAnsi="Times New Roman Regular" w:eastAsia="仿宋_GB2312" w:cs="Times New Roman Regular"/>
          <w:b w:val="0"/>
          <w:bCs w:val="0"/>
          <w:sz w:val="32"/>
          <w:szCs w:val="32"/>
        </w:rPr>
        <w:t>021-37188010</w:t>
      </w:r>
    </w:p>
    <w:bookmarkEnd w:id="0"/>
    <w:bookmarkEnd w:id="1"/>
    <w:bookmarkEnd w:id="2"/>
    <w:p w14:paraId="48D82D97">
      <w:pPr>
        <w:rPr>
          <w:rFonts w:hint="default"/>
          <w:lang w:val="en-US"/>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0FEF8335"/>
    <w:rsid w:val="1B9F55C1"/>
    <w:rsid w:val="67FB3D2C"/>
    <w:rsid w:val="7D6EA3EE"/>
    <w:rsid w:val="ADEF8409"/>
    <w:rsid w:val="BFDB441C"/>
    <w:rsid w:val="C7F70D3F"/>
    <w:rsid w:val="DFBF741E"/>
    <w:rsid w:val="FDE2C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120"/>
    </w:pPr>
    <w:rPr>
      <w:rFonts w:ascii="宋体" w:hAnsi="宋体" w:eastAsia="宋体" w:cs="宋体"/>
      <w:sz w:val="32"/>
      <w:szCs w:val="32"/>
    </w:rPr>
  </w:style>
  <w:style w:type="paragraph" w:styleId="3">
    <w:name w:val="Normal (Web)"/>
    <w:basedOn w:val="1"/>
    <w:qFormat/>
    <w:uiPriority w:val="0"/>
    <w:rPr>
      <w:sz w:val="24"/>
    </w:rPr>
  </w:style>
  <w:style w:type="character" w:customStyle="1" w:styleId="6">
    <w:name w:val="NormalCharacter"/>
    <w:link w:val="7"/>
    <w:semiHidden/>
    <w:qFormat/>
    <w:uiPriority w:val="0"/>
    <w:rPr>
      <w:rFonts w:ascii="Calibri" w:hAnsi="Calibri"/>
      <w:kern w:val="0"/>
      <w:szCs w:val="21"/>
    </w:rPr>
  </w:style>
  <w:style w:type="paragraph" w:customStyle="1" w:styleId="7">
    <w:name w:val="UserStyle_0"/>
    <w:basedOn w:val="1"/>
    <w:link w:val="6"/>
    <w:qFormat/>
    <w:uiPriority w:val="0"/>
    <w:rPr>
      <w:rFonts w:ascii="Calibri" w:hAnsi="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2025-09-02T14:58:00Z</dcterms:created>
  <dc:creator>廖梓君</dc:creator>
  <cp:lastModifiedBy>廖梓君</cp:lastModifiedBy>
  <dcterms:modified xsi:type="dcterms:W3CDTF">2025-09-02T15:25:55Z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A2E7057B1A3F61E4D399B668AF81C949_43</vt:lpwstr>
  </property>
</Properties>
</file>